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7072"/>
      </w:tblGrid>
      <w:tr w:rsidR="00D72BEB" w:rsidRPr="003D6100" w:rsidTr="003D6100"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3D6100" w:rsidRDefault="00D72BEB" w:rsidP="00DD0246">
            <w:pPr>
              <w:jc w:val="center"/>
              <w:rPr>
                <w:b/>
              </w:rPr>
            </w:pPr>
            <w:r w:rsidRPr="003D6100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3D6100">
              <w:rPr>
                <w:b/>
                <w:lang w:val="uk-UA"/>
              </w:rPr>
              <w:t>.</w:t>
            </w:r>
          </w:p>
          <w:p w:rsidR="00D72BEB" w:rsidRPr="003D6100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3D6100" w:rsidTr="003D610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D6100" w:rsidRDefault="00D72BEB">
            <w:pPr>
              <w:rPr>
                <w:lang w:val="uk-UA"/>
              </w:rPr>
            </w:pPr>
            <w:r w:rsidRPr="003D6100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D6100" w:rsidRDefault="00D72BEB">
            <w:pPr>
              <w:rPr>
                <w:lang w:val="uk-UA"/>
              </w:rPr>
            </w:pPr>
            <w:r w:rsidRPr="003D6100">
              <w:rPr>
                <w:lang w:val="uk-UA"/>
              </w:rPr>
              <w:t>Назва предмета закупівлі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D6100" w:rsidRDefault="00367D7D" w:rsidP="00367D7D">
            <w:pPr>
              <w:rPr>
                <w:lang w:val="uk-UA"/>
              </w:rPr>
            </w:pPr>
            <w:r w:rsidRPr="003D6100">
              <w:rPr>
                <w:lang w:val="uk-UA"/>
              </w:rPr>
              <w:t>Електрична енергія для вуличного освітлення Сумської міської територіальної громади</w:t>
            </w:r>
          </w:p>
        </w:tc>
      </w:tr>
      <w:tr w:rsidR="00D72BEB" w:rsidRPr="003D6100" w:rsidTr="003D610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D6100" w:rsidRDefault="00D72BEB" w:rsidP="002E02FC">
            <w:pPr>
              <w:rPr>
                <w:lang w:val="uk-UA"/>
              </w:rPr>
            </w:pPr>
            <w:r w:rsidRPr="003D6100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D6100" w:rsidRDefault="00D72BEB" w:rsidP="002E02FC">
            <w:pPr>
              <w:rPr>
                <w:lang w:val="uk-UA"/>
              </w:rPr>
            </w:pPr>
            <w:r w:rsidRPr="003D6100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FF" w:rsidRPr="003D6100" w:rsidRDefault="00367D7D" w:rsidP="0068205B">
            <w:pPr>
              <w:ind w:firstLine="360"/>
              <w:jc w:val="both"/>
              <w:rPr>
                <w:bCs/>
                <w:spacing w:val="-4"/>
                <w:lang w:val="uk-UA" w:eastAsia="ar-SA"/>
              </w:rPr>
            </w:pPr>
            <w:r w:rsidRPr="003D6100">
              <w:rPr>
                <w:lang w:val="uk-UA"/>
              </w:rPr>
              <w:t>Закупівля Електричної енергії для вуличного освітлення Сумської міської територіальної громади</w:t>
            </w:r>
            <w:r w:rsidRPr="003D6100">
              <w:rPr>
                <w:bCs/>
                <w:spacing w:val="-4"/>
                <w:lang w:val="uk-UA" w:eastAsia="ar-SA"/>
              </w:rPr>
              <w:t xml:space="preserve"> </w:t>
            </w:r>
            <w:r w:rsidR="00D20EFF" w:rsidRPr="003D6100">
              <w:rPr>
                <w:bCs/>
                <w:spacing w:val="-4"/>
                <w:lang w:val="uk-UA" w:eastAsia="ar-SA"/>
              </w:rPr>
              <w:t>повинно здійснюватися відповідно до вимог: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 xml:space="preserve">Закон України «Про публічні закупівлі» від 25. 12. 2015 № 922-VIII; 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>Постанова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скасування» (зі змінами);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 xml:space="preserve">Закон України «Про ринок електричної енергії» від 13.04.2017 № 2019-VIII, 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 xml:space="preserve">Постанова Національної комісії, що здійснює державне регулювання у сферах енергетики та комунальних послуг (НКРЕКП) від 14.03.2018 №312 «Про затвердження Правил роздрібного ринку електричної енергії»; 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 xml:space="preserve">Порядок забезпечення стандартів якості електропостачання та надання компенсацій споживачам за їх недотримання, затверджений постановою НКРЕКП від 12.06.2018 р. № 375; 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>Кодекс комерційного обліку електричної енергії, Кодекс системи розподілу, Кодекс системи передачі;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 xml:space="preserve">Правила роздрібного ринку електричної енергії; 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 xml:space="preserve">Правила ринку «на добу наперед» на внутрішньодобовому ринку; 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>Правила ринку та іншими нормативними актами прийнятими на виконання Закону України «Про ринок електричної енергії».</w:t>
            </w:r>
          </w:p>
          <w:p w:rsidR="003D6100" w:rsidRPr="003D6100" w:rsidRDefault="003D6100" w:rsidP="003D6100">
            <w:pPr>
              <w:pStyle w:val="af2"/>
              <w:numPr>
                <w:ilvl w:val="0"/>
                <w:numId w:val="7"/>
              </w:numPr>
              <w:ind w:left="15" w:firstLine="283"/>
              <w:rPr>
                <w:rFonts w:eastAsia="Calibri"/>
                <w:lang w:val="uk-UA"/>
              </w:rPr>
            </w:pPr>
            <w:r w:rsidRPr="003D6100">
              <w:rPr>
                <w:rFonts w:eastAsia="Calibri"/>
                <w:lang w:val="uk-UA"/>
              </w:rPr>
              <w:t>Наказ Мінекономіки від 07.05.2024 № 11712 "Про затвердження Методичних рекомендацій щодо особливостей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скасування".</w:t>
            </w:r>
          </w:p>
          <w:p w:rsidR="009043A2" w:rsidRPr="003D6100" w:rsidRDefault="009043A2" w:rsidP="003D6100">
            <w:pPr>
              <w:widowControl w:val="0"/>
              <w:suppressAutoHyphens/>
              <w:ind w:left="15" w:hanging="15"/>
              <w:jc w:val="both"/>
              <w:rPr>
                <w:spacing w:val="-4"/>
                <w:lang w:val="uk-UA" w:eastAsia="ar-SA"/>
              </w:rPr>
            </w:pPr>
          </w:p>
        </w:tc>
      </w:tr>
      <w:tr w:rsidR="00D72BEB" w:rsidRPr="003D6100" w:rsidTr="003D610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D6100" w:rsidRDefault="00D72BEB" w:rsidP="002E02FC">
            <w:pPr>
              <w:rPr>
                <w:lang w:val="uk-UA"/>
              </w:rPr>
            </w:pPr>
            <w:r w:rsidRPr="003D6100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D6100" w:rsidRDefault="00D72BEB" w:rsidP="002E02FC">
            <w:pPr>
              <w:rPr>
                <w:lang w:val="uk-UA"/>
              </w:rPr>
            </w:pPr>
            <w:r w:rsidRPr="003D6100">
              <w:rPr>
                <w:lang w:val="uk-UA"/>
              </w:rPr>
              <w:t>Обґрунтування очікуваної вартості предмета</w:t>
            </w:r>
            <w:r w:rsidR="00236EE5" w:rsidRPr="003D6100">
              <w:rPr>
                <w:lang w:val="uk-UA"/>
              </w:rPr>
              <w:t xml:space="preserve"> закупівлі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3D6100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3D6100">
              <w:rPr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367D7D" w:rsidRPr="003D6100">
              <w:rPr>
                <w:lang w:val="uk-UA"/>
              </w:rPr>
              <w:t>електричної енергії для вуличного освітлення Сумської міської територіальної громади</w:t>
            </w:r>
            <w:r w:rsidR="00C72451" w:rsidRPr="003D6100">
              <w:rPr>
                <w:lang w:val="uk-UA"/>
              </w:rPr>
              <w:t xml:space="preserve">. </w:t>
            </w:r>
            <w:r w:rsidRPr="003D6100">
              <w:rPr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3D6100" w:rsidRDefault="009043A2" w:rsidP="002E02FC">
            <w:pPr>
              <w:ind w:firstLine="567"/>
              <w:jc w:val="both"/>
              <w:rPr>
                <w:lang w:val="uk-UA"/>
              </w:rPr>
            </w:pPr>
            <w:r w:rsidRPr="003D6100">
              <w:rPr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3D6100" w:rsidTr="003D610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3D6100" w:rsidRDefault="00236EE5" w:rsidP="002E02FC">
            <w:pPr>
              <w:rPr>
                <w:lang w:val="uk-UA"/>
              </w:rPr>
            </w:pPr>
            <w:r w:rsidRPr="003D6100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3D6100" w:rsidRDefault="00236EE5" w:rsidP="002E02FC">
            <w:pPr>
              <w:rPr>
                <w:lang w:val="uk-UA"/>
              </w:rPr>
            </w:pPr>
            <w:r w:rsidRPr="003D6100">
              <w:rPr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3D6100" w:rsidRDefault="00DD0246" w:rsidP="003D6100">
            <w:pPr>
              <w:pStyle w:val="af3"/>
              <w:spacing w:before="0" w:beforeAutospacing="0" w:after="150" w:afterAutospacing="0"/>
              <w:jc w:val="both"/>
              <w:rPr>
                <w:b/>
                <w:shd w:val="clear" w:color="auto" w:fill="FFFFFF"/>
                <w:lang w:val="uk-UA"/>
              </w:rPr>
            </w:pPr>
            <w:r w:rsidRPr="003D6100">
              <w:rPr>
                <w:lang w:val="uk-UA"/>
              </w:rPr>
              <w:t xml:space="preserve">Розмір </w:t>
            </w:r>
            <w:r w:rsidR="0068205B" w:rsidRPr="003D6100">
              <w:rPr>
                <w:lang w:val="uk-UA"/>
              </w:rPr>
              <w:t>очікуваної вартості планової закупівлі на 202</w:t>
            </w:r>
            <w:r w:rsidR="003D6100" w:rsidRPr="003D6100">
              <w:rPr>
                <w:lang w:val="uk-UA"/>
              </w:rPr>
              <w:t>5</w:t>
            </w:r>
            <w:r w:rsidR="0068205B" w:rsidRPr="003D6100">
              <w:rPr>
                <w:lang w:val="uk-UA"/>
              </w:rPr>
              <w:t xml:space="preserve"> рік</w:t>
            </w:r>
            <w:r w:rsidRPr="003D6100">
              <w:rPr>
                <w:lang w:val="uk-UA"/>
              </w:rPr>
              <w:t xml:space="preserve"> </w:t>
            </w:r>
            <w:r w:rsidRPr="003D6100">
              <w:rPr>
                <w:lang w:val="en-US"/>
              </w:rPr>
              <w:t>c</w:t>
            </w:r>
            <w:r w:rsidRPr="003D6100">
              <w:rPr>
                <w:lang w:val="uk-UA"/>
              </w:rPr>
              <w:t>кладає</w:t>
            </w:r>
            <w:r w:rsidR="0068205B" w:rsidRPr="003D6100">
              <w:rPr>
                <w:lang w:val="uk-UA"/>
              </w:rPr>
              <w:t xml:space="preserve"> </w:t>
            </w:r>
            <w:r w:rsidR="003D6100" w:rsidRPr="003D6100">
              <w:rPr>
                <w:lang w:val="uk-UA"/>
              </w:rPr>
              <w:t>41 550</w:t>
            </w:r>
            <w:r w:rsidR="0068205B" w:rsidRPr="003D6100">
              <w:rPr>
                <w:lang w:val="uk-UA"/>
              </w:rPr>
              <w:t> 000,00</w:t>
            </w:r>
            <w:r w:rsidRPr="003D6100">
              <w:rPr>
                <w:lang w:val="uk-UA"/>
              </w:rPr>
              <w:t xml:space="preserve"> грн. 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  <w:bookmarkStart w:id="0" w:name="_GoBack"/>
      <w:bookmarkEnd w:id="0"/>
    </w:p>
    <w:sectPr w:rsidR="002B25C3" w:rsidRPr="00A179C4" w:rsidSect="003D610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69" w:rsidRDefault="006D3469" w:rsidP="006B39BE">
      <w:r>
        <w:separator/>
      </w:r>
    </w:p>
  </w:endnote>
  <w:endnote w:type="continuationSeparator" w:id="0">
    <w:p w:rsidR="006D3469" w:rsidRDefault="006D346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Hebre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69" w:rsidRDefault="006D3469" w:rsidP="006B39BE">
      <w:r>
        <w:separator/>
      </w:r>
    </w:p>
  </w:footnote>
  <w:footnote w:type="continuationSeparator" w:id="0">
    <w:p w:rsidR="006D3469" w:rsidRDefault="006D346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180A"/>
    <w:rsid w:val="00014476"/>
    <w:rsid w:val="00017971"/>
    <w:rsid w:val="000370A0"/>
    <w:rsid w:val="000501F0"/>
    <w:rsid w:val="0005434F"/>
    <w:rsid w:val="00083F8E"/>
    <w:rsid w:val="00086580"/>
    <w:rsid w:val="000959E3"/>
    <w:rsid w:val="000A37E8"/>
    <w:rsid w:val="000F3A4C"/>
    <w:rsid w:val="0012168C"/>
    <w:rsid w:val="0012405D"/>
    <w:rsid w:val="001278B2"/>
    <w:rsid w:val="00197FCE"/>
    <w:rsid w:val="001A063C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E02FC"/>
    <w:rsid w:val="002E0E4C"/>
    <w:rsid w:val="002F538E"/>
    <w:rsid w:val="002F6342"/>
    <w:rsid w:val="003145FB"/>
    <w:rsid w:val="003323C1"/>
    <w:rsid w:val="00367D7D"/>
    <w:rsid w:val="003B6A8F"/>
    <w:rsid w:val="003D1DF2"/>
    <w:rsid w:val="003D6100"/>
    <w:rsid w:val="003E690E"/>
    <w:rsid w:val="00415F04"/>
    <w:rsid w:val="004367BA"/>
    <w:rsid w:val="00443985"/>
    <w:rsid w:val="00475E72"/>
    <w:rsid w:val="004867D7"/>
    <w:rsid w:val="0048744F"/>
    <w:rsid w:val="00491C04"/>
    <w:rsid w:val="00495CA5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828D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205B"/>
    <w:rsid w:val="00683E72"/>
    <w:rsid w:val="006848E4"/>
    <w:rsid w:val="006865BD"/>
    <w:rsid w:val="00687454"/>
    <w:rsid w:val="0069641B"/>
    <w:rsid w:val="006B39BE"/>
    <w:rsid w:val="006D3469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134B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05A3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67636"/>
    <w:rsid w:val="00BB1A62"/>
    <w:rsid w:val="00BB6FD7"/>
    <w:rsid w:val="00C26692"/>
    <w:rsid w:val="00C266EC"/>
    <w:rsid w:val="00C44238"/>
    <w:rsid w:val="00C70AC7"/>
    <w:rsid w:val="00C72451"/>
    <w:rsid w:val="00CC4A63"/>
    <w:rsid w:val="00CC75D9"/>
    <w:rsid w:val="00CE2282"/>
    <w:rsid w:val="00CE598C"/>
    <w:rsid w:val="00CF0916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2DF9"/>
    <w:rsid w:val="00F935EF"/>
    <w:rsid w:val="00F95975"/>
    <w:rsid w:val="00F96FFC"/>
    <w:rsid w:val="00FA0A6C"/>
    <w:rsid w:val="00FA7AB2"/>
    <w:rsid w:val="00FB6F05"/>
    <w:rsid w:val="00FC387A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DF3A5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6510-45DE-4619-990A-58D65573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</TotalTime>
  <Pages>1</Pages>
  <Words>356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Даренська Марина Олександрівна</cp:lastModifiedBy>
  <cp:revision>4</cp:revision>
  <cp:lastPrinted>2024-12-16T07:32:00Z</cp:lastPrinted>
  <dcterms:created xsi:type="dcterms:W3CDTF">2024-01-11T14:42:00Z</dcterms:created>
  <dcterms:modified xsi:type="dcterms:W3CDTF">2024-12-16T07:32:00Z</dcterms:modified>
</cp:coreProperties>
</file>