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07044" w:rsidRDefault="00707198" w:rsidP="00960106">
            <w:pPr>
              <w:rPr>
                <w:lang w:val="uk-UA"/>
              </w:rPr>
            </w:pPr>
            <w:r w:rsidRPr="00707198">
              <w:rPr>
                <w:sz w:val="28"/>
                <w:szCs w:val="28"/>
                <w:lang w:val="uk-UA"/>
              </w:rPr>
              <w:t>Надання послуг із благоустрою населених пунктів (</w:t>
            </w:r>
            <w:bookmarkStart w:id="0" w:name="_GoBack"/>
            <w:r w:rsidRPr="00707198">
              <w:rPr>
                <w:sz w:val="28"/>
                <w:szCs w:val="28"/>
                <w:lang w:val="uk-UA"/>
              </w:rPr>
              <w:t>проведення санітарних заходів у прибережній смузі озера Чеха</w:t>
            </w:r>
            <w:bookmarkEnd w:id="0"/>
            <w:r w:rsidRPr="00707198">
              <w:rPr>
                <w:sz w:val="28"/>
                <w:szCs w:val="28"/>
                <w:lang w:val="uk-UA"/>
              </w:rPr>
              <w:t>)</w:t>
            </w:r>
          </w:p>
        </w:tc>
      </w:tr>
      <w:tr w:rsidR="00D72BEB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A70D5E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послуг повинні відповідати вимогам: «Правил благоустрою міста Суми» та діючим нормативним документам, що стосуються порядку та якості надання послуг</w:t>
            </w:r>
          </w:p>
        </w:tc>
      </w:tr>
      <w:tr w:rsidR="00D72BEB" w:rsidRPr="00BD6427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07044">
              <w:rPr>
                <w:sz w:val="28"/>
                <w:szCs w:val="28"/>
              </w:rPr>
              <w:t>прибирання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707198" w:rsidP="00A70D5E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предмета закупівлі на 202</w:t>
            </w:r>
            <w:r w:rsidR="00C35628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рік становить</w:t>
            </w:r>
            <w:r w:rsidR="00FB7DE8">
              <w:rPr>
                <w:sz w:val="28"/>
                <w:szCs w:val="28"/>
                <w:lang w:val="uk-UA"/>
              </w:rPr>
              <w:t xml:space="preserve"> </w:t>
            </w:r>
            <w:r w:rsidR="00AE0BEE">
              <w:rPr>
                <w:sz w:val="28"/>
                <w:szCs w:val="28"/>
                <w:lang w:val="uk-UA"/>
              </w:rPr>
              <w:t>1 0</w:t>
            </w:r>
            <w:r w:rsidR="00FB7DE8">
              <w:rPr>
                <w:sz w:val="28"/>
                <w:szCs w:val="28"/>
                <w:lang w:val="uk-UA"/>
              </w:rPr>
              <w:t>0</w:t>
            </w:r>
            <w:r w:rsidR="00960106">
              <w:rPr>
                <w:sz w:val="28"/>
                <w:szCs w:val="28"/>
                <w:lang w:val="uk-UA"/>
              </w:rPr>
              <w:t>0 000,00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307044" w:rsidRDefault="00307044" w:rsidP="00D027EA">
      <w:pPr>
        <w:rPr>
          <w:sz w:val="20"/>
          <w:szCs w:val="20"/>
          <w:lang w:val="uk-UA"/>
        </w:rPr>
      </w:pPr>
    </w:p>
    <w:p w:rsidR="00307044" w:rsidRPr="002B25C3" w:rsidRDefault="00307044" w:rsidP="00D027EA">
      <w:pPr>
        <w:rPr>
          <w:sz w:val="20"/>
          <w:szCs w:val="20"/>
          <w:lang w:val="uk-UA"/>
        </w:rPr>
      </w:pPr>
    </w:p>
    <w:sectPr w:rsidR="00307044" w:rsidRPr="002B25C3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C9" w:rsidRDefault="003518C9" w:rsidP="006B39BE">
      <w:r>
        <w:separator/>
      </w:r>
    </w:p>
  </w:endnote>
  <w:endnote w:type="continuationSeparator" w:id="0">
    <w:p w:rsidR="003518C9" w:rsidRDefault="003518C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C9" w:rsidRDefault="003518C9" w:rsidP="006B39BE">
      <w:r>
        <w:separator/>
      </w:r>
    </w:p>
  </w:footnote>
  <w:footnote w:type="continuationSeparator" w:id="0">
    <w:p w:rsidR="003518C9" w:rsidRDefault="003518C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718C8"/>
    <w:rsid w:val="00083F8E"/>
    <w:rsid w:val="00095654"/>
    <w:rsid w:val="000959E3"/>
    <w:rsid w:val="000A37E8"/>
    <w:rsid w:val="000F3A4C"/>
    <w:rsid w:val="0012168C"/>
    <w:rsid w:val="0012405D"/>
    <w:rsid w:val="00126A46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07044"/>
    <w:rsid w:val="003145FB"/>
    <w:rsid w:val="003323C1"/>
    <w:rsid w:val="003518C9"/>
    <w:rsid w:val="00383354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07198"/>
    <w:rsid w:val="007123BA"/>
    <w:rsid w:val="007264EF"/>
    <w:rsid w:val="00742A35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0106"/>
    <w:rsid w:val="0096548F"/>
    <w:rsid w:val="009822CD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70D5E"/>
    <w:rsid w:val="00A96035"/>
    <w:rsid w:val="00AE0BEE"/>
    <w:rsid w:val="00AF130B"/>
    <w:rsid w:val="00B11D20"/>
    <w:rsid w:val="00B14192"/>
    <w:rsid w:val="00B16EFE"/>
    <w:rsid w:val="00B33BB9"/>
    <w:rsid w:val="00B67636"/>
    <w:rsid w:val="00B95006"/>
    <w:rsid w:val="00BB1A62"/>
    <w:rsid w:val="00BB6FD7"/>
    <w:rsid w:val="00BD6427"/>
    <w:rsid w:val="00C26692"/>
    <w:rsid w:val="00C266EC"/>
    <w:rsid w:val="00C35628"/>
    <w:rsid w:val="00C44238"/>
    <w:rsid w:val="00C70AC7"/>
    <w:rsid w:val="00CC4A63"/>
    <w:rsid w:val="00CC75D9"/>
    <w:rsid w:val="00CE2282"/>
    <w:rsid w:val="00CF0916"/>
    <w:rsid w:val="00CF3032"/>
    <w:rsid w:val="00CF5B93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50A53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B7DE8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9BD6-ADB0-45D9-A20A-56D9EB9D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162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6</cp:revision>
  <cp:lastPrinted>2024-12-16T10:10:00Z</cp:lastPrinted>
  <dcterms:created xsi:type="dcterms:W3CDTF">2023-11-24T13:42:00Z</dcterms:created>
  <dcterms:modified xsi:type="dcterms:W3CDTF">2024-12-18T09:14:00Z</dcterms:modified>
</cp:coreProperties>
</file>