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1B4B6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419F7" w:rsidRDefault="001B4B61" w:rsidP="001419F7">
            <w:pPr>
              <w:jc w:val="both"/>
              <w:rPr>
                <w:lang w:val="uk-UA"/>
              </w:rPr>
            </w:pPr>
            <w:bookmarkStart w:id="0" w:name="_GoBack"/>
            <w:r w:rsidRPr="001419F7">
              <w:rPr>
                <w:sz w:val="28"/>
                <w:szCs w:val="28"/>
                <w:lang w:val="uk-UA"/>
              </w:rPr>
              <w:t>Реконструкція (санація) самотічного каналізаційного колектора Д 400-600 від вул. Харківська, 30/1 по вул. Прокоф’єва до КНС-6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419F7" w:rsidRDefault="00236EE5" w:rsidP="001419F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419F7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1B4B61" w:rsidRPr="001419F7">
              <w:rPr>
                <w:sz w:val="28"/>
                <w:szCs w:val="28"/>
                <w:lang w:val="uk-UA"/>
              </w:rPr>
              <w:t xml:space="preserve">Реконструкція (санація) самотічного каналізаційного колектора Д 400-600 від вул. Харківська, 30/1 по вул. Прокоф’єва до КНС-6 </w:t>
            </w:r>
            <w:r w:rsidRPr="001419F7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1419F7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1419F7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1419F7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1B4B61" w:rsidRPr="001419F7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звіт№19-0158/01-22 від 22,08,2022 року</w:t>
            </w:r>
          </w:p>
          <w:p w:rsidR="00D462F9" w:rsidRPr="001419F7" w:rsidRDefault="00D462F9" w:rsidP="001419F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1419F7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1419F7" w:rsidRDefault="00D462F9" w:rsidP="001419F7">
            <w:pPr>
              <w:tabs>
                <w:tab w:val="left" w:pos="709"/>
                <w:tab w:val="left" w:pos="993"/>
              </w:tabs>
              <w:jc w:val="both"/>
            </w:pPr>
            <w:r w:rsidRPr="001419F7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1B4B61" w:rsidRPr="001419F7">
              <w:rPr>
                <w:sz w:val="28"/>
                <w:szCs w:val="28"/>
                <w:lang w:val="uk-UA"/>
              </w:rPr>
              <w:t>2</w:t>
            </w:r>
            <w:r w:rsidRPr="001419F7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1419F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1419F7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1419F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1419F7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E004CA">
              <w:rPr>
                <w:sz w:val="28"/>
                <w:szCs w:val="28"/>
                <w:lang w:val="uk-UA"/>
              </w:rPr>
              <w:t>21</w:t>
            </w:r>
            <w:r w:rsidR="00E004CA" w:rsidRPr="00E004CA">
              <w:rPr>
                <w:sz w:val="28"/>
                <w:szCs w:val="28"/>
                <w:lang w:val="uk-UA"/>
              </w:rPr>
              <w:t xml:space="preserve">290000,00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419F7"/>
    <w:rsid w:val="00197FCE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9302-A7DA-4C4C-BC87-EA035961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101</TotalTime>
  <Pages>1</Pages>
  <Words>178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14</cp:revision>
  <cp:lastPrinted>2022-10-03T12:24:00Z</cp:lastPrinted>
  <dcterms:created xsi:type="dcterms:W3CDTF">2021-06-25T05:40:00Z</dcterms:created>
  <dcterms:modified xsi:type="dcterms:W3CDTF">2022-12-26T11:55:00Z</dcterms:modified>
</cp:coreProperties>
</file>