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3165E4" w:rsidP="00600B44">
            <w:pPr>
              <w:rPr>
                <w:lang w:val="uk-UA"/>
              </w:rPr>
            </w:pPr>
            <w:r w:rsidRPr="003165E4">
              <w:rPr>
                <w:sz w:val="28"/>
                <w:szCs w:val="28"/>
                <w:lang w:val="uk-UA"/>
              </w:rPr>
              <w:t>«</w:t>
            </w:r>
            <w:r w:rsidR="00600B44">
              <w:rPr>
                <w:sz w:val="28"/>
                <w:szCs w:val="28"/>
                <w:lang w:val="uk-UA"/>
              </w:rPr>
              <w:t>Придбання гусеничного бульдозеру</w:t>
            </w:r>
            <w:r w:rsidRPr="003165E4"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AC40D5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Очікувана вартість предмета закупівлі визначена на підставі наявної потреби</w:t>
            </w:r>
            <w:r w:rsidR="00600B44">
              <w:t xml:space="preserve"> </w:t>
            </w:r>
            <w:r w:rsidR="00600B44">
              <w:rPr>
                <w:sz w:val="28"/>
                <w:szCs w:val="28"/>
              </w:rPr>
              <w:t>у забезпеченні</w:t>
            </w:r>
            <w:r w:rsidR="00600B44" w:rsidRPr="00600B44">
              <w:rPr>
                <w:sz w:val="28"/>
                <w:szCs w:val="28"/>
              </w:rPr>
              <w:t xml:space="preserve"> безперебійного технологічного процесу захоронення відходів на полігоні ТПВ, з метою покращ</w:t>
            </w:r>
            <w:r w:rsidR="00600B44">
              <w:rPr>
                <w:sz w:val="28"/>
                <w:szCs w:val="28"/>
              </w:rPr>
              <w:t>ення якості ущільнення відходів та</w:t>
            </w:r>
            <w:r w:rsidR="00600B44" w:rsidRPr="00600B44">
              <w:rPr>
                <w:sz w:val="28"/>
                <w:szCs w:val="28"/>
              </w:rPr>
              <w:t xml:space="preserve"> збільшення проєктної потужності полігону</w:t>
            </w:r>
            <w:r w:rsidR="00600B44">
              <w:rPr>
                <w:sz w:val="28"/>
                <w:szCs w:val="28"/>
              </w:rPr>
              <w:t xml:space="preserve">. </w:t>
            </w:r>
            <w:r w:rsidRPr="008517E1">
              <w:rPr>
                <w:sz w:val="28"/>
                <w:szCs w:val="28"/>
              </w:rPr>
              <w:t>Очікувана вартість предмета закупівлі визначена (розрахована) методом порівняння ринкових цін. При визначенні вартості закупівлі враховувалас</w:t>
            </w:r>
            <w:r w:rsidR="00600B44">
              <w:rPr>
                <w:sz w:val="28"/>
                <w:szCs w:val="28"/>
              </w:rPr>
              <w:t>ь інформація про ціни на аналогічні товари</w:t>
            </w:r>
            <w:r w:rsidRPr="008517E1">
              <w:rPr>
                <w:sz w:val="28"/>
                <w:szCs w:val="28"/>
              </w:rPr>
              <w:t xml:space="preserve">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600B44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AC40D5">
              <w:rPr>
                <w:sz w:val="28"/>
                <w:szCs w:val="28"/>
                <w:lang w:val="uk-UA"/>
              </w:rPr>
              <w:t>6 2</w:t>
            </w:r>
            <w:bookmarkStart w:id="0" w:name="_GoBack"/>
            <w:bookmarkEnd w:id="0"/>
            <w:r w:rsidR="00600B44">
              <w:rPr>
                <w:sz w:val="28"/>
                <w:szCs w:val="28"/>
                <w:lang w:val="uk-UA"/>
              </w:rPr>
              <w:t>00 000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81" w:rsidRDefault="00491981" w:rsidP="006B39BE">
      <w:r>
        <w:separator/>
      </w:r>
    </w:p>
  </w:endnote>
  <w:endnote w:type="continuationSeparator" w:id="0">
    <w:p w:rsidR="00491981" w:rsidRDefault="0049198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81" w:rsidRDefault="00491981" w:rsidP="006B39BE">
      <w:r>
        <w:separator/>
      </w:r>
    </w:p>
  </w:footnote>
  <w:footnote w:type="continuationSeparator" w:id="0">
    <w:p w:rsidR="00491981" w:rsidRDefault="0049198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5BFB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163E"/>
    <w:rsid w:val="00307044"/>
    <w:rsid w:val="003145FB"/>
    <w:rsid w:val="003165E4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981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00B44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0689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C40D5"/>
    <w:rsid w:val="00AF130B"/>
    <w:rsid w:val="00B12E66"/>
    <w:rsid w:val="00B14192"/>
    <w:rsid w:val="00B16EFE"/>
    <w:rsid w:val="00B33BB9"/>
    <w:rsid w:val="00B67636"/>
    <w:rsid w:val="00BB1A62"/>
    <w:rsid w:val="00BB6FD7"/>
    <w:rsid w:val="00BC1A3C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D159F"/>
    <w:rsid w:val="00EF161F"/>
    <w:rsid w:val="00F17042"/>
    <w:rsid w:val="00F21582"/>
    <w:rsid w:val="00F47D95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2D8F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CC6F-7B5B-4A79-8D1A-58704459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Денисова Анна Миколаївна</cp:lastModifiedBy>
  <cp:revision>5</cp:revision>
  <cp:lastPrinted>2022-12-09T12:30:00Z</cp:lastPrinted>
  <dcterms:created xsi:type="dcterms:W3CDTF">2022-12-05T10:47:00Z</dcterms:created>
  <dcterms:modified xsi:type="dcterms:W3CDTF">2022-12-12T12:30:00Z</dcterms:modified>
</cp:coreProperties>
</file>