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7311BA" w:rsidRDefault="00D72BEB" w:rsidP="00DD0246">
            <w:pPr>
              <w:jc w:val="center"/>
              <w:rPr>
                <w:b/>
                <w:sz w:val="28"/>
                <w:szCs w:val="28"/>
              </w:rPr>
            </w:pPr>
            <w:r w:rsidRPr="00236EE5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B651FC" w:rsidRDefault="00D47610" w:rsidP="00114A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Послуги з благоустрою населених пунктів (видалення чагарникової  </w:t>
            </w:r>
            <w:r w:rsidRPr="000F1652">
              <w:rPr>
                <w:sz w:val="28"/>
                <w:szCs w:val="28"/>
              </w:rPr>
              <w:t>рослинності (порослі) від Баранівського мосту до насосної станції</w:t>
            </w:r>
            <w:r>
              <w:rPr>
                <w:sz w:val="28"/>
                <w:szCs w:val="28"/>
              </w:rPr>
              <w:t>»</w:t>
            </w:r>
          </w:p>
        </w:tc>
      </w:tr>
      <w:tr w:rsidR="00D72BEB" w:rsidRPr="00D47610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517E1" w:rsidRDefault="008517E1" w:rsidP="00236EE5">
            <w:pPr>
              <w:tabs>
                <w:tab w:val="left" w:pos="709"/>
                <w:tab w:val="left" w:pos="993"/>
              </w:tabs>
              <w:ind w:firstLine="36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</w:t>
            </w:r>
            <w:r w:rsidRPr="008517E1">
              <w:rPr>
                <w:sz w:val="28"/>
                <w:szCs w:val="28"/>
                <w:lang w:val="uk-UA"/>
              </w:rPr>
              <w:t>кість та порядок надання послуг повинні відповідати вимогам: «Правил благоустрою міста Суми» (зі змінами та доповненнями, затверджених рішенням Сумської міської ради від 26 грудня 2014 року № 3853 – МР) та діючим нормативним документам, що стосуються порядку та якості надання послуг</w:t>
            </w:r>
            <w:r w:rsidR="00B651FC">
              <w:rPr>
                <w:sz w:val="28"/>
                <w:szCs w:val="28"/>
                <w:lang w:val="uk-UA"/>
              </w:rPr>
              <w:t>.</w:t>
            </w:r>
          </w:p>
        </w:tc>
      </w:tr>
      <w:tr w:rsidR="00D72BEB" w:rsidRPr="00D47610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236EE5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8517E1" w:rsidP="008517E1">
            <w:pPr>
              <w:pStyle w:val="af4"/>
              <w:rPr>
                <w:sz w:val="28"/>
                <w:szCs w:val="28"/>
              </w:rPr>
            </w:pPr>
            <w:r w:rsidRPr="008517E1">
              <w:rPr>
                <w:sz w:val="28"/>
                <w:szCs w:val="28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187A86">
              <w:rPr>
                <w:sz w:val="28"/>
                <w:szCs w:val="28"/>
              </w:rPr>
              <w:t xml:space="preserve">аварійних дерев, чагарників та сміття, які треба прибрати для наведення належного санітарного стану </w:t>
            </w:r>
            <w:r w:rsidR="00D47610">
              <w:rPr>
                <w:sz w:val="28"/>
                <w:szCs w:val="28"/>
                <w:lang w:eastAsia="en-US"/>
              </w:rPr>
              <w:t>прибрежно-захисна смуга річки</w:t>
            </w:r>
            <w:r w:rsidR="00D47610" w:rsidRPr="007F3DF3">
              <w:rPr>
                <w:sz w:val="28"/>
                <w:szCs w:val="28"/>
                <w:lang w:eastAsia="en-US"/>
              </w:rPr>
              <w:t xml:space="preserve"> </w:t>
            </w:r>
            <w:r w:rsidR="00D47610">
              <w:rPr>
                <w:sz w:val="28"/>
                <w:szCs w:val="28"/>
                <w:lang w:eastAsia="en-US"/>
              </w:rPr>
              <w:t xml:space="preserve">Псел </w:t>
            </w:r>
            <w:r w:rsidR="00D47610" w:rsidRPr="007F3DF3">
              <w:rPr>
                <w:sz w:val="28"/>
                <w:szCs w:val="28"/>
                <w:lang w:eastAsia="en-US"/>
              </w:rPr>
              <w:t xml:space="preserve">від </w:t>
            </w:r>
            <w:r w:rsidR="00D47610">
              <w:rPr>
                <w:sz w:val="28"/>
                <w:szCs w:val="28"/>
                <w:lang w:eastAsia="en-US"/>
              </w:rPr>
              <w:t>мосту «Ба</w:t>
            </w:r>
            <w:r w:rsidR="00D47610">
              <w:rPr>
                <w:sz w:val="28"/>
                <w:szCs w:val="28"/>
                <w:lang w:eastAsia="en-US"/>
              </w:rPr>
              <w:t>ранівський» до насосної станції</w:t>
            </w:r>
            <w:r w:rsidRPr="008517E1">
              <w:rPr>
                <w:sz w:val="28"/>
                <w:szCs w:val="28"/>
              </w:rPr>
              <w:t xml:space="preserve">. 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  <w:r w:rsidR="00D47610">
              <w:rPr>
                <w:sz w:val="28"/>
                <w:szCs w:val="28"/>
              </w:rPr>
              <w:t>Я</w:t>
            </w:r>
            <w:r w:rsidRPr="008517E1">
              <w:rPr>
                <w:sz w:val="28"/>
                <w:szCs w:val="28"/>
              </w:rPr>
              <w:t>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  <w:p w:rsidR="00B651FC" w:rsidRPr="00236EE5" w:rsidRDefault="00B651FC" w:rsidP="008517E1">
            <w:pPr>
              <w:pStyle w:val="af4"/>
              <w:rPr>
                <w:sz w:val="28"/>
                <w:szCs w:val="28"/>
              </w:rPr>
            </w:pPr>
          </w:p>
        </w:tc>
      </w:tr>
      <w:tr w:rsidR="00236EE5" w:rsidRPr="00D47610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Default="00236EE5" w:rsidP="0025738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236EE5" w:rsidRDefault="00236EE5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A71E91" w:rsidRDefault="00DD0246" w:rsidP="00BE151B">
            <w:pPr>
              <w:pStyle w:val="af3"/>
              <w:spacing w:before="0" w:beforeAutospacing="0" w:after="150" w:afterAutospacing="0"/>
              <w:jc w:val="both"/>
              <w:rPr>
                <w:lang w:val="uk-UA"/>
              </w:rPr>
            </w:pPr>
            <w:r w:rsidRPr="00DD0246">
              <w:rPr>
                <w:sz w:val="28"/>
                <w:szCs w:val="28"/>
                <w:lang w:val="uk-UA"/>
              </w:rPr>
              <w:t>Розмір бюджетного призначення</w:t>
            </w:r>
            <w:r w:rsidRPr="00DD024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D0246">
              <w:rPr>
                <w:sz w:val="28"/>
                <w:szCs w:val="28"/>
                <w:lang w:val="uk-UA"/>
              </w:rPr>
              <w:t>на 202</w:t>
            </w:r>
            <w:r w:rsidR="00D47610">
              <w:rPr>
                <w:sz w:val="28"/>
                <w:szCs w:val="28"/>
                <w:lang w:val="uk-UA"/>
              </w:rPr>
              <w:t>6</w:t>
            </w:r>
            <w:r w:rsidRPr="00DD0246">
              <w:rPr>
                <w:sz w:val="28"/>
                <w:szCs w:val="28"/>
                <w:lang w:val="uk-UA"/>
              </w:rPr>
              <w:t xml:space="preserve"> р. </w:t>
            </w:r>
            <w:r w:rsidRPr="00DD0246">
              <w:rPr>
                <w:sz w:val="28"/>
                <w:szCs w:val="28"/>
                <w:lang w:val="en-US"/>
              </w:rPr>
              <w:t>c</w:t>
            </w:r>
            <w:r w:rsidRPr="00DD0246">
              <w:rPr>
                <w:sz w:val="28"/>
                <w:szCs w:val="28"/>
                <w:lang w:val="uk-UA"/>
              </w:rPr>
              <w:t>кладає</w:t>
            </w:r>
            <w:r w:rsidR="004A0F7C">
              <w:rPr>
                <w:sz w:val="28"/>
                <w:szCs w:val="28"/>
                <w:lang w:val="uk-UA"/>
              </w:rPr>
              <w:t xml:space="preserve">  </w:t>
            </w:r>
            <w:r w:rsidRPr="00DD0246">
              <w:rPr>
                <w:sz w:val="28"/>
                <w:szCs w:val="28"/>
                <w:lang w:val="uk-UA"/>
              </w:rPr>
              <w:t xml:space="preserve"> </w:t>
            </w:r>
            <w:r w:rsidR="00D47610" w:rsidRPr="00D47610">
              <w:rPr>
                <w:spacing w:val="7"/>
                <w:sz w:val="28"/>
                <w:szCs w:val="28"/>
                <w:shd w:val="clear" w:color="auto" w:fill="FFFFFF"/>
                <w:lang w:val="uk-UA" w:eastAsia="uk-UA"/>
              </w:rPr>
              <w:t>264</w:t>
            </w:r>
            <w:r w:rsidR="00D47610" w:rsidRPr="00D47610">
              <w:rPr>
                <w:spacing w:val="7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="00D47610" w:rsidRPr="00D47610">
              <w:rPr>
                <w:spacing w:val="7"/>
                <w:sz w:val="28"/>
                <w:szCs w:val="28"/>
                <w:shd w:val="clear" w:color="auto" w:fill="FFFFFF"/>
                <w:lang w:val="uk-UA" w:eastAsia="uk-UA"/>
              </w:rPr>
              <w:t>042,00 грн.</w:t>
            </w:r>
            <w:r w:rsidRPr="00DD0246">
              <w:rPr>
                <w:sz w:val="28"/>
                <w:szCs w:val="28"/>
                <w:lang w:val="uk-UA"/>
              </w:rPr>
              <w:t xml:space="preserve"> </w:t>
            </w:r>
            <w:r w:rsidRPr="00DD0246">
              <w:rPr>
                <w:sz w:val="28"/>
                <w:szCs w:val="28"/>
                <w:shd w:val="clear" w:color="auto" w:fill="FFFFFF"/>
                <w:lang w:val="uk-UA"/>
              </w:rPr>
              <w:t xml:space="preserve">відповідно до </w:t>
            </w:r>
            <w:r w:rsidR="00B651FC" w:rsidRPr="00B651FC">
              <w:rPr>
                <w:sz w:val="28"/>
                <w:szCs w:val="28"/>
                <w:shd w:val="clear" w:color="auto" w:fill="FFFFFF"/>
                <w:lang w:val="uk-UA"/>
              </w:rPr>
              <w:t>наказу начальника Сумської місь</w:t>
            </w:r>
            <w:r w:rsidR="00A71E91">
              <w:rPr>
                <w:sz w:val="28"/>
                <w:szCs w:val="28"/>
                <w:shd w:val="clear" w:color="auto" w:fill="FFFFFF"/>
                <w:lang w:val="uk-UA"/>
              </w:rPr>
              <w:t>кої військової адміністрації</w:t>
            </w:r>
            <w:r w:rsidR="00A71E91" w:rsidRPr="00A71E91">
              <w:rPr>
                <w:color w:val="333333"/>
                <w:lang w:val="uk-UA"/>
              </w:rPr>
              <w:t xml:space="preserve"> </w:t>
            </w:r>
            <w:r w:rsidR="00BE151B" w:rsidRPr="00BE151B">
              <w:rPr>
                <w:color w:val="000000"/>
                <w:sz w:val="28"/>
                <w:szCs w:val="28"/>
                <w:lang w:val="uk-UA"/>
              </w:rPr>
              <w:t>№360-СМР від 23.12. 2025</w:t>
            </w:r>
          </w:p>
        </w:tc>
      </w:tr>
    </w:tbl>
    <w:p w:rsidR="002B25C3" w:rsidRPr="00DD0246" w:rsidRDefault="002B25C3" w:rsidP="002B25C3">
      <w:pPr>
        <w:rPr>
          <w:lang w:val="uk-UA"/>
        </w:rPr>
      </w:pPr>
    </w:p>
    <w:p w:rsidR="002B25C3" w:rsidRDefault="002B25C3" w:rsidP="00D027EA">
      <w:pPr>
        <w:rPr>
          <w:sz w:val="20"/>
          <w:szCs w:val="20"/>
          <w:lang w:val="uk-UA"/>
        </w:rPr>
      </w:pPr>
    </w:p>
    <w:p w:rsidR="00D62B3C" w:rsidRDefault="00D62B3C" w:rsidP="00D027EA">
      <w:pPr>
        <w:rPr>
          <w:sz w:val="20"/>
          <w:szCs w:val="20"/>
          <w:lang w:val="uk-UA"/>
        </w:rPr>
      </w:pPr>
    </w:p>
    <w:p w:rsidR="00D62B3C" w:rsidRPr="002B25C3" w:rsidRDefault="00D62B3C" w:rsidP="00D027EA">
      <w:pPr>
        <w:rPr>
          <w:sz w:val="20"/>
          <w:szCs w:val="20"/>
          <w:lang w:val="uk-UA"/>
        </w:rPr>
      </w:pPr>
    </w:p>
    <w:p w:rsidR="00D62B3C" w:rsidRDefault="001F224F" w:rsidP="00D027EA">
      <w:pPr>
        <w:rPr>
          <w:b/>
          <w:sz w:val="28"/>
          <w:szCs w:val="20"/>
          <w:lang w:val="uk-UA"/>
        </w:rPr>
      </w:pPr>
      <w:r w:rsidRPr="001F224F">
        <w:rPr>
          <w:b/>
          <w:sz w:val="28"/>
          <w:szCs w:val="20"/>
          <w:lang w:val="uk-UA"/>
        </w:rPr>
        <w:t>Начальник відділу санітарного</w:t>
      </w:r>
    </w:p>
    <w:p w:rsidR="002B25C3" w:rsidRPr="001F224F" w:rsidRDefault="001F224F" w:rsidP="00D62B3C">
      <w:pPr>
        <w:ind w:right="-568"/>
        <w:rPr>
          <w:b/>
          <w:sz w:val="28"/>
          <w:szCs w:val="20"/>
          <w:lang w:val="uk-UA"/>
        </w:rPr>
      </w:pPr>
      <w:r w:rsidRPr="001F224F">
        <w:rPr>
          <w:b/>
          <w:sz w:val="28"/>
          <w:szCs w:val="20"/>
          <w:lang w:val="uk-UA"/>
        </w:rPr>
        <w:t xml:space="preserve">очищення  міста та поводження з ТПВ </w:t>
      </w:r>
      <w:r w:rsidR="00D62B3C">
        <w:rPr>
          <w:b/>
          <w:sz w:val="28"/>
          <w:szCs w:val="20"/>
          <w:lang w:val="uk-UA"/>
        </w:rPr>
        <w:tab/>
      </w:r>
      <w:r w:rsidR="00A71E91">
        <w:rPr>
          <w:b/>
          <w:sz w:val="28"/>
          <w:szCs w:val="20"/>
          <w:lang w:val="uk-UA"/>
        </w:rPr>
        <w:t xml:space="preserve">                   </w:t>
      </w:r>
      <w:r w:rsidR="00D62B3C">
        <w:rPr>
          <w:b/>
          <w:sz w:val="28"/>
          <w:szCs w:val="20"/>
          <w:lang w:val="uk-UA"/>
        </w:rPr>
        <w:tab/>
      </w:r>
      <w:r w:rsidR="00BE151B">
        <w:rPr>
          <w:b/>
          <w:sz w:val="28"/>
          <w:szCs w:val="20"/>
          <w:lang w:val="uk-UA"/>
        </w:rPr>
        <w:t>Андрій СТРИЖАК</w:t>
      </w:r>
      <w:bookmarkStart w:id="0" w:name="_GoBack"/>
      <w:bookmarkEnd w:id="0"/>
    </w:p>
    <w:sectPr w:rsidR="002B25C3" w:rsidRPr="001F224F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DD5" w:rsidRDefault="00AE6DD5" w:rsidP="006B39BE">
      <w:r>
        <w:separator/>
      </w:r>
    </w:p>
  </w:endnote>
  <w:endnote w:type="continuationSeparator" w:id="0">
    <w:p w:rsidR="00AE6DD5" w:rsidRDefault="00AE6DD5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DD5" w:rsidRDefault="00AE6DD5" w:rsidP="006B39BE">
      <w:r>
        <w:separator/>
      </w:r>
    </w:p>
  </w:footnote>
  <w:footnote w:type="continuationSeparator" w:id="0">
    <w:p w:rsidR="00AE6DD5" w:rsidRDefault="00AE6DD5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83F8E"/>
    <w:rsid w:val="000959E3"/>
    <w:rsid w:val="000A37E8"/>
    <w:rsid w:val="000F3A4C"/>
    <w:rsid w:val="000F44FE"/>
    <w:rsid w:val="00114A0F"/>
    <w:rsid w:val="0012168C"/>
    <w:rsid w:val="0012405D"/>
    <w:rsid w:val="001278B2"/>
    <w:rsid w:val="00187A86"/>
    <w:rsid w:val="00197FCE"/>
    <w:rsid w:val="001A6B82"/>
    <w:rsid w:val="001B0B06"/>
    <w:rsid w:val="001C1EAF"/>
    <w:rsid w:val="001E7A27"/>
    <w:rsid w:val="001F224F"/>
    <w:rsid w:val="002356ED"/>
    <w:rsid w:val="00236EE5"/>
    <w:rsid w:val="0024616D"/>
    <w:rsid w:val="0026204B"/>
    <w:rsid w:val="002640C0"/>
    <w:rsid w:val="00265722"/>
    <w:rsid w:val="0028057E"/>
    <w:rsid w:val="002B25C3"/>
    <w:rsid w:val="002E0E4C"/>
    <w:rsid w:val="002F538E"/>
    <w:rsid w:val="002F6342"/>
    <w:rsid w:val="003145FB"/>
    <w:rsid w:val="003323C1"/>
    <w:rsid w:val="003C15EC"/>
    <w:rsid w:val="003D1DF2"/>
    <w:rsid w:val="003E690E"/>
    <w:rsid w:val="00415F04"/>
    <w:rsid w:val="00424BA7"/>
    <w:rsid w:val="00432813"/>
    <w:rsid w:val="004367BA"/>
    <w:rsid w:val="00443985"/>
    <w:rsid w:val="00475E72"/>
    <w:rsid w:val="004762AB"/>
    <w:rsid w:val="004827CE"/>
    <w:rsid w:val="004867D7"/>
    <w:rsid w:val="0048744F"/>
    <w:rsid w:val="00491C04"/>
    <w:rsid w:val="00495EB0"/>
    <w:rsid w:val="004A0F7C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E7E4A"/>
    <w:rsid w:val="005F560C"/>
    <w:rsid w:val="00600DA6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016"/>
    <w:rsid w:val="0069641B"/>
    <w:rsid w:val="006B39BE"/>
    <w:rsid w:val="00700BF0"/>
    <w:rsid w:val="00700D8B"/>
    <w:rsid w:val="007123BA"/>
    <w:rsid w:val="007264EF"/>
    <w:rsid w:val="00742A35"/>
    <w:rsid w:val="007728AF"/>
    <w:rsid w:val="007A55EF"/>
    <w:rsid w:val="007B14E4"/>
    <w:rsid w:val="007D5688"/>
    <w:rsid w:val="00802F45"/>
    <w:rsid w:val="00805EA1"/>
    <w:rsid w:val="00840A12"/>
    <w:rsid w:val="00841CEE"/>
    <w:rsid w:val="008433F3"/>
    <w:rsid w:val="00844560"/>
    <w:rsid w:val="008517E1"/>
    <w:rsid w:val="00863245"/>
    <w:rsid w:val="008A18C3"/>
    <w:rsid w:val="008A617A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48F"/>
    <w:rsid w:val="00986575"/>
    <w:rsid w:val="009901C1"/>
    <w:rsid w:val="00995358"/>
    <w:rsid w:val="009A0172"/>
    <w:rsid w:val="009B0332"/>
    <w:rsid w:val="009B7B6F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64E03"/>
    <w:rsid w:val="00A70792"/>
    <w:rsid w:val="00A71E91"/>
    <w:rsid w:val="00A96035"/>
    <w:rsid w:val="00AA4B5A"/>
    <w:rsid w:val="00AE6DD5"/>
    <w:rsid w:val="00AF130B"/>
    <w:rsid w:val="00B14192"/>
    <w:rsid w:val="00B16EFE"/>
    <w:rsid w:val="00B33BB9"/>
    <w:rsid w:val="00B651FC"/>
    <w:rsid w:val="00B67636"/>
    <w:rsid w:val="00BA212F"/>
    <w:rsid w:val="00BB1A62"/>
    <w:rsid w:val="00BB6592"/>
    <w:rsid w:val="00BB6FD7"/>
    <w:rsid w:val="00BE151B"/>
    <w:rsid w:val="00C26692"/>
    <w:rsid w:val="00C266EC"/>
    <w:rsid w:val="00C44238"/>
    <w:rsid w:val="00C70AC7"/>
    <w:rsid w:val="00CC4A63"/>
    <w:rsid w:val="00CC75D9"/>
    <w:rsid w:val="00CE2282"/>
    <w:rsid w:val="00CF0916"/>
    <w:rsid w:val="00D027EA"/>
    <w:rsid w:val="00D103BD"/>
    <w:rsid w:val="00D202E7"/>
    <w:rsid w:val="00D27716"/>
    <w:rsid w:val="00D42F96"/>
    <w:rsid w:val="00D47610"/>
    <w:rsid w:val="00D62B3C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15561"/>
    <w:rsid w:val="00E474B2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03B04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3E542-092F-4714-BC2A-C85C793A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46</TotalTime>
  <Pages>1</Pages>
  <Words>223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Пальоха Влада Вікторівна</cp:lastModifiedBy>
  <cp:revision>13</cp:revision>
  <cp:lastPrinted>2023-05-03T05:41:00Z</cp:lastPrinted>
  <dcterms:created xsi:type="dcterms:W3CDTF">2023-05-03T05:42:00Z</dcterms:created>
  <dcterms:modified xsi:type="dcterms:W3CDTF">2026-04-07T07:43:00Z</dcterms:modified>
</cp:coreProperties>
</file>