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"/>
        <w:gridCol w:w="2651"/>
        <w:gridCol w:w="7635"/>
      </w:tblGrid>
      <w:tr w:rsidR="00D72BEB" w:rsidRPr="009043A2" w:rsidTr="00A6691B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9043A2" w:rsidTr="00A6691B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367D7D" w:rsidP="00367D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Електрична енергія для вуличного освітлення Сумської міської територіальної громади</w:t>
            </w:r>
          </w:p>
        </w:tc>
      </w:tr>
      <w:tr w:rsidR="00D72BEB" w:rsidRPr="009043A2" w:rsidTr="00A6691B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EFF" w:rsidRPr="00D20EFF" w:rsidRDefault="00367D7D" w:rsidP="0068205B">
            <w:pPr>
              <w:ind w:firstLine="360"/>
              <w:jc w:val="both"/>
              <w:rPr>
                <w:bCs/>
                <w:spacing w:val="-4"/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>Закупівля Електричної енергії для вуличного освітлення Сумської міської територіальної громади</w:t>
            </w:r>
            <w:r w:rsidRPr="00D20EFF">
              <w:rPr>
                <w:bCs/>
                <w:spacing w:val="-4"/>
                <w:sz w:val="26"/>
                <w:szCs w:val="26"/>
                <w:lang w:val="uk-UA" w:eastAsia="ar-SA"/>
              </w:rPr>
              <w:t xml:space="preserve"> </w:t>
            </w:r>
            <w:r w:rsidR="00D20EFF" w:rsidRPr="00D20EFF">
              <w:rPr>
                <w:bCs/>
                <w:spacing w:val="-4"/>
                <w:sz w:val="26"/>
                <w:szCs w:val="26"/>
                <w:lang w:val="uk-UA" w:eastAsia="ar-SA"/>
              </w:rPr>
              <w:t>повинно здійснюватися відповідно до вимог: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Закон України «Про публічні закупівлі» від 25. 12. 2015 № 922-VIII;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>Постанова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скасування» (зі змінами);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Закон України «Про ринок електричної енергії» від 13.04.2017 № 2019-VIII,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Постанова Національної комісії, що здійснює державне регулювання у сферах енергетики та комунальних послуг (НКРЕКП) від 14.03.2018 №312 «Про затвердження Правил роздрібного ринку електричної енергії»;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Порядок забезпечення стандартів якості електропостачання та надання компенсацій споживачам за їх недотримання, затверджений постановою НКРЕКП від 12.06.2018 р. № 375;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>Кодекс комерційного обліку електричної енергії, Кодекс системи розподілу, Кодекс системи передачі;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Правила роздрібного ринку електричної енергії;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 xml:space="preserve">Правила ринку «на добу наперед» на внутрішньодобовому ринку; 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>Правила ринку та іншими нормативними актами прийнятими на виконання Закону України «Про ринок електричної енергії».</w:t>
            </w:r>
          </w:p>
          <w:p w:rsidR="00A6691B" w:rsidRPr="00A6691B" w:rsidRDefault="00A6691B" w:rsidP="00A6691B">
            <w:pPr>
              <w:pStyle w:val="af2"/>
              <w:numPr>
                <w:ilvl w:val="0"/>
                <w:numId w:val="7"/>
              </w:numPr>
              <w:ind w:left="0" w:firstLine="582"/>
              <w:jc w:val="both"/>
              <w:rPr>
                <w:rFonts w:eastAsia="Calibri"/>
                <w:lang w:val="uk-UA"/>
              </w:rPr>
            </w:pPr>
            <w:r w:rsidRPr="00A6691B">
              <w:rPr>
                <w:rFonts w:eastAsia="Calibri"/>
                <w:lang w:val="uk-UA"/>
              </w:rPr>
              <w:t>Наказ Мінекономіки від 07.05.2024 № 11712 "Про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скасування".</w:t>
            </w:r>
          </w:p>
          <w:p w:rsidR="009043A2" w:rsidRPr="009043A2" w:rsidRDefault="009043A2" w:rsidP="00367D7D">
            <w:pPr>
              <w:widowControl w:val="0"/>
              <w:suppressAutoHyphens/>
              <w:ind w:left="15" w:firstLine="157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</w:p>
        </w:tc>
      </w:tr>
      <w:tr w:rsidR="00D72BEB" w:rsidRPr="00495CA5" w:rsidTr="00A6691B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367D7D">
              <w:rPr>
                <w:sz w:val="26"/>
                <w:szCs w:val="26"/>
                <w:lang w:val="uk-UA"/>
              </w:rPr>
              <w:t>електричної енергії для вуличного освітлення Сумської міської територіальної громади</w:t>
            </w:r>
            <w:r w:rsidR="00C72451">
              <w:rPr>
                <w:sz w:val="26"/>
                <w:szCs w:val="26"/>
                <w:lang w:val="uk-UA"/>
              </w:rPr>
              <w:t xml:space="preserve">. </w:t>
            </w: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9043A2" w:rsidRDefault="009043A2" w:rsidP="002E02FC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495CA5" w:rsidTr="00A6691B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D0246" w:rsidP="00B47A41">
            <w:pPr>
              <w:pStyle w:val="af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 w:rsidR="0068205B">
              <w:rPr>
                <w:sz w:val="26"/>
                <w:szCs w:val="26"/>
                <w:lang w:val="uk-UA"/>
              </w:rPr>
              <w:t>очікуваної вартості планової закупівлі на 202</w:t>
            </w:r>
            <w:r w:rsidR="00B47A41">
              <w:rPr>
                <w:sz w:val="26"/>
                <w:szCs w:val="26"/>
                <w:lang w:val="uk-UA"/>
              </w:rPr>
              <w:t>6</w:t>
            </w:r>
            <w:r w:rsidR="0068205B"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Pr="009043A2">
              <w:rPr>
                <w:sz w:val="26"/>
                <w:szCs w:val="26"/>
                <w:lang w:val="en-US"/>
              </w:rPr>
              <w:t>c</w:t>
            </w:r>
            <w:r w:rsidRPr="009043A2">
              <w:rPr>
                <w:sz w:val="26"/>
                <w:szCs w:val="26"/>
                <w:lang w:val="uk-UA"/>
              </w:rPr>
              <w:t>кладає</w:t>
            </w:r>
            <w:r w:rsidR="0068205B">
              <w:rPr>
                <w:sz w:val="26"/>
                <w:szCs w:val="26"/>
                <w:lang w:val="uk-UA"/>
              </w:rPr>
              <w:t xml:space="preserve"> </w:t>
            </w:r>
            <w:r w:rsidR="00B47A41">
              <w:rPr>
                <w:sz w:val="26"/>
                <w:szCs w:val="26"/>
                <w:lang w:val="uk-UA"/>
              </w:rPr>
              <w:t>30 050</w:t>
            </w:r>
            <w:r w:rsidR="0068205B">
              <w:rPr>
                <w:sz w:val="26"/>
                <w:szCs w:val="26"/>
                <w:lang w:val="uk-UA"/>
              </w:rPr>
              <w:t> 000,00</w:t>
            </w:r>
            <w:r w:rsidRPr="009043A2">
              <w:rPr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  <w:bookmarkStart w:id="0" w:name="_GoBack"/>
      <w:bookmarkEnd w:id="0"/>
    </w:p>
    <w:sectPr w:rsidR="002B25C3" w:rsidRPr="00A179C4" w:rsidSect="00A6691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2A" w:rsidRDefault="00B01D2A" w:rsidP="006B39BE">
      <w:r>
        <w:separator/>
      </w:r>
    </w:p>
  </w:endnote>
  <w:endnote w:type="continuationSeparator" w:id="0">
    <w:p w:rsidR="00B01D2A" w:rsidRDefault="00B01D2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2A" w:rsidRDefault="00B01D2A" w:rsidP="006B39BE">
      <w:r>
        <w:separator/>
      </w:r>
    </w:p>
  </w:footnote>
  <w:footnote w:type="continuationSeparator" w:id="0">
    <w:p w:rsidR="00B01D2A" w:rsidRDefault="00B01D2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180A"/>
    <w:rsid w:val="00014476"/>
    <w:rsid w:val="00017971"/>
    <w:rsid w:val="000370A0"/>
    <w:rsid w:val="000501F0"/>
    <w:rsid w:val="0005434F"/>
    <w:rsid w:val="00083F8E"/>
    <w:rsid w:val="00086580"/>
    <w:rsid w:val="000959E3"/>
    <w:rsid w:val="000A37E8"/>
    <w:rsid w:val="000F3A4C"/>
    <w:rsid w:val="0012168C"/>
    <w:rsid w:val="0012405D"/>
    <w:rsid w:val="001278B2"/>
    <w:rsid w:val="00197FCE"/>
    <w:rsid w:val="001A063C"/>
    <w:rsid w:val="001A6B82"/>
    <w:rsid w:val="001B0B06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E02FC"/>
    <w:rsid w:val="002E0E4C"/>
    <w:rsid w:val="002F538E"/>
    <w:rsid w:val="002F6342"/>
    <w:rsid w:val="003145FB"/>
    <w:rsid w:val="003323C1"/>
    <w:rsid w:val="00367D7D"/>
    <w:rsid w:val="003B6A8F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CA5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828D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205B"/>
    <w:rsid w:val="00683E72"/>
    <w:rsid w:val="006848E4"/>
    <w:rsid w:val="006865BD"/>
    <w:rsid w:val="00687454"/>
    <w:rsid w:val="0069641B"/>
    <w:rsid w:val="006B39BE"/>
    <w:rsid w:val="006D3469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134B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05A3"/>
    <w:rsid w:val="00A34AED"/>
    <w:rsid w:val="00A44356"/>
    <w:rsid w:val="00A5451E"/>
    <w:rsid w:val="00A605FD"/>
    <w:rsid w:val="00A6105F"/>
    <w:rsid w:val="00A6691B"/>
    <w:rsid w:val="00A70792"/>
    <w:rsid w:val="00A96035"/>
    <w:rsid w:val="00AF130B"/>
    <w:rsid w:val="00B01D2A"/>
    <w:rsid w:val="00B14192"/>
    <w:rsid w:val="00B16EFE"/>
    <w:rsid w:val="00B33BB9"/>
    <w:rsid w:val="00B47A41"/>
    <w:rsid w:val="00B67636"/>
    <w:rsid w:val="00BB1A62"/>
    <w:rsid w:val="00BB6FD7"/>
    <w:rsid w:val="00C26692"/>
    <w:rsid w:val="00C266EC"/>
    <w:rsid w:val="00C44238"/>
    <w:rsid w:val="00C70AC7"/>
    <w:rsid w:val="00C72451"/>
    <w:rsid w:val="00CC4A63"/>
    <w:rsid w:val="00CC75D9"/>
    <w:rsid w:val="00CE2282"/>
    <w:rsid w:val="00CE598C"/>
    <w:rsid w:val="00CF0916"/>
    <w:rsid w:val="00D027EA"/>
    <w:rsid w:val="00D103BD"/>
    <w:rsid w:val="00D202E7"/>
    <w:rsid w:val="00D20EFF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2DF9"/>
    <w:rsid w:val="00F935EF"/>
    <w:rsid w:val="00F95975"/>
    <w:rsid w:val="00F96FFC"/>
    <w:rsid w:val="00FA0A6C"/>
    <w:rsid w:val="00FA7AB2"/>
    <w:rsid w:val="00FB6F05"/>
    <w:rsid w:val="00FC387A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9DD1B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171D-DCD9-41D4-B054-EC65236B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Даренська Марина Олександрівна</cp:lastModifiedBy>
  <cp:revision>3</cp:revision>
  <cp:lastPrinted>2024-01-11T14:43:00Z</cp:lastPrinted>
  <dcterms:created xsi:type="dcterms:W3CDTF">2025-12-15T13:09:00Z</dcterms:created>
  <dcterms:modified xsi:type="dcterms:W3CDTF">2025-12-15T13:11:00Z</dcterms:modified>
</cp:coreProperties>
</file>