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494849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94849" w:rsidRDefault="00494849" w:rsidP="00494849">
            <w:pPr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603074">
              <w:rPr>
                <w:sz w:val="28"/>
                <w:szCs w:val="28"/>
                <w:lang w:val="uk-UA"/>
              </w:rPr>
              <w:t xml:space="preserve">Надання послуг з </w:t>
            </w:r>
            <w:r w:rsidRPr="00603074">
              <w:rPr>
                <w:rFonts w:eastAsia="SimSun"/>
                <w:sz w:val="28"/>
                <w:szCs w:val="28"/>
                <w:lang w:val="uk-UA"/>
              </w:rPr>
              <w:t xml:space="preserve">розробки концепції ефективного управління побутовими відходами, що утворюються у </w:t>
            </w:r>
            <w:r w:rsidRPr="00603074">
              <w:rPr>
                <w:rFonts w:eastAsia="Calibri"/>
                <w:bCs/>
                <w:sz w:val="28"/>
                <w:szCs w:val="28"/>
                <w:lang w:val="uk-UA" w:bidi="uk-UA"/>
              </w:rPr>
              <w:t>житлових будинках індивідуальної забудови (будинки приватного сектору) з присадибною ділянкою</w:t>
            </w:r>
            <w:r w:rsidRPr="00603074">
              <w:rPr>
                <w:rFonts w:eastAsia="SimSun"/>
                <w:sz w:val="28"/>
                <w:szCs w:val="28"/>
                <w:lang w:val="uk-UA"/>
              </w:rPr>
              <w:t>, розташованих на території Сумської міської територіальної громади,</w:t>
            </w:r>
            <w:r>
              <w:rPr>
                <w:rFonts w:eastAsia="SimSun"/>
                <w:sz w:val="28"/>
                <w:szCs w:val="28"/>
                <w:lang w:val="uk-UA"/>
              </w:rPr>
              <w:t xml:space="preserve"> </w:t>
            </w:r>
            <w:r w:rsidRPr="00603074">
              <w:rPr>
                <w:sz w:val="28"/>
                <w:szCs w:val="28"/>
                <w:lang w:val="uk-UA"/>
              </w:rPr>
              <w:t>у рамках реалізації проєкту «Circular-based waste management» («Управління відходами на основі замкненого циклу») (І етап).</w:t>
            </w:r>
          </w:p>
        </w:tc>
      </w:tr>
      <w:tr w:rsidR="00D72BEB" w:rsidRPr="00F9707C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517E1" w:rsidRDefault="008517E1" w:rsidP="00494849">
            <w:pPr>
              <w:tabs>
                <w:tab w:val="left" w:pos="709"/>
                <w:tab w:val="left" w:pos="993"/>
              </w:tabs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</w:t>
            </w:r>
            <w:r w:rsidR="00494849">
              <w:rPr>
                <w:sz w:val="28"/>
                <w:szCs w:val="28"/>
                <w:lang w:val="uk-UA"/>
              </w:rPr>
              <w:t>луг повинні відповідати вимогам</w:t>
            </w:r>
            <w:r w:rsidRPr="008517E1">
              <w:rPr>
                <w:sz w:val="28"/>
                <w:szCs w:val="28"/>
                <w:lang w:val="uk-UA"/>
              </w:rPr>
              <w:t xml:space="preserve"> та діючим нормативним документам, що стосуються порядку та якості надання послуг</w:t>
            </w:r>
          </w:p>
        </w:tc>
      </w:tr>
      <w:tr w:rsidR="00D72BEB" w:rsidRPr="00494849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E1" w:rsidRPr="008517E1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</w:t>
            </w:r>
            <w:r w:rsidR="00EE00F6">
              <w:rPr>
                <w:sz w:val="28"/>
                <w:szCs w:val="28"/>
              </w:rPr>
              <w:t xml:space="preserve">укладеного плану діяльності за проєктом. </w:t>
            </w:r>
            <w:r w:rsidRPr="008517E1">
              <w:rPr>
                <w:sz w:val="28"/>
                <w:szCs w:val="28"/>
              </w:rPr>
              <w:t>Очікувана вартість предмета закупівлі визначена (розрахована)</w:t>
            </w:r>
            <w:r w:rsidR="00494849">
              <w:rPr>
                <w:sz w:val="28"/>
                <w:szCs w:val="28"/>
              </w:rPr>
              <w:t xml:space="preserve"> відповідно до бюджету проєкту</w:t>
            </w:r>
            <w:r w:rsidRPr="008517E1">
              <w:rPr>
                <w:sz w:val="28"/>
                <w:szCs w:val="28"/>
              </w:rPr>
              <w:t xml:space="preserve">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D72BEB" w:rsidRPr="00236EE5" w:rsidRDefault="00D72BEB" w:rsidP="004B7C88">
            <w:pPr>
              <w:pStyle w:val="af4"/>
              <w:rPr>
                <w:sz w:val="28"/>
                <w:szCs w:val="28"/>
              </w:rPr>
            </w:pPr>
          </w:p>
        </w:tc>
      </w:tr>
      <w:tr w:rsidR="00236EE5" w:rsidRPr="00494849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46" w:rsidRPr="00DD0246" w:rsidRDefault="00DD0246" w:rsidP="00DD0246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 xml:space="preserve">на 2021 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8517E1">
              <w:rPr>
                <w:sz w:val="28"/>
                <w:szCs w:val="28"/>
                <w:lang w:val="uk-UA"/>
              </w:rPr>
              <w:t>1</w:t>
            </w:r>
            <w:r w:rsidR="00494849">
              <w:rPr>
                <w:sz w:val="28"/>
                <w:szCs w:val="28"/>
                <w:lang w:val="uk-UA"/>
              </w:rPr>
              <w:t>5</w:t>
            </w:r>
            <w:r w:rsidR="00EE00F6">
              <w:rPr>
                <w:sz w:val="28"/>
                <w:szCs w:val="28"/>
                <w:lang w:val="uk-UA"/>
              </w:rPr>
              <w:t>0</w:t>
            </w:r>
            <w:r w:rsidR="008517E1">
              <w:rPr>
                <w:sz w:val="28"/>
                <w:szCs w:val="28"/>
                <w:lang w:val="uk-UA"/>
              </w:rPr>
              <w:t> 000,00</w:t>
            </w:r>
            <w:r w:rsidRPr="00DD0246">
              <w:rPr>
                <w:sz w:val="28"/>
                <w:szCs w:val="28"/>
                <w:lang w:val="uk-UA"/>
              </w:rPr>
              <w:t xml:space="preserve"> грн.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24.12.2020 № 62-МР      </w:t>
            </w:r>
            <w:hyperlink r:id="rId8" w:history="1">
              <w:r w:rsidRPr="00DD0246">
                <w:rPr>
                  <w:sz w:val="28"/>
                  <w:szCs w:val="28"/>
                  <w:lang w:val="uk-UA"/>
                </w:rPr>
                <w:br/>
              </w:r>
              <w:r w:rsidRPr="00DD0246">
                <w:rPr>
                  <w:rStyle w:val="af6"/>
                  <w:color w:val="auto"/>
                  <w:sz w:val="28"/>
                  <w:szCs w:val="28"/>
                  <w:u w:val="none"/>
                  <w:lang w:val="uk-UA"/>
                </w:rPr>
                <w:t>«Про бюджет Сумської міської територіальної громади на 2021 рік</w:t>
              </w:r>
            </w:hyperlink>
            <w:r w:rsidRPr="00DD024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та розрахунку до кошторису по КПКВК </w:t>
            </w:r>
            <w:r w:rsidR="00494849">
              <w:rPr>
                <w:sz w:val="28"/>
                <w:szCs w:val="28"/>
                <w:lang w:val="uk-UA"/>
              </w:rPr>
              <w:t>№ 121609</w:t>
            </w:r>
            <w:r w:rsidR="008517E1">
              <w:rPr>
                <w:sz w:val="28"/>
                <w:szCs w:val="28"/>
                <w:lang w:val="uk-UA"/>
              </w:rPr>
              <w:t>0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236EE5" w:rsidRPr="00DD0246" w:rsidRDefault="00236EE5" w:rsidP="0025738F">
            <w:pPr>
              <w:pStyle w:val="af4"/>
              <w:jc w:val="left"/>
            </w:pPr>
          </w:p>
        </w:tc>
      </w:tr>
    </w:tbl>
    <w:p w:rsidR="002B25C3" w:rsidRPr="00C11E29" w:rsidRDefault="002B25C3" w:rsidP="002B25C3">
      <w:pPr>
        <w:rPr>
          <w:sz w:val="28"/>
          <w:szCs w:val="28"/>
          <w:lang w:val="uk-UA"/>
        </w:rPr>
      </w:pPr>
      <w:bookmarkStart w:id="0" w:name="_GoBack"/>
    </w:p>
    <w:p w:rsidR="007B601C" w:rsidRPr="00C11E29" w:rsidRDefault="007B601C" w:rsidP="00D027EA">
      <w:pPr>
        <w:rPr>
          <w:sz w:val="28"/>
          <w:szCs w:val="28"/>
          <w:lang w:val="uk-UA"/>
        </w:rPr>
      </w:pPr>
    </w:p>
    <w:p w:rsidR="004B7C88" w:rsidRPr="00C11E29" w:rsidRDefault="004B7C88" w:rsidP="00D027EA">
      <w:pPr>
        <w:rPr>
          <w:sz w:val="28"/>
          <w:szCs w:val="28"/>
          <w:lang w:val="uk-UA"/>
        </w:rPr>
      </w:pPr>
    </w:p>
    <w:p w:rsidR="004B7C88" w:rsidRPr="00C11E29" w:rsidRDefault="004B7C88" w:rsidP="00D027EA">
      <w:pPr>
        <w:rPr>
          <w:sz w:val="28"/>
          <w:szCs w:val="28"/>
          <w:lang w:val="uk-UA"/>
        </w:rPr>
      </w:pPr>
    </w:p>
    <w:bookmarkEnd w:id="0"/>
    <w:p w:rsidR="007B601C" w:rsidRDefault="00494849" w:rsidP="00D027EA">
      <w:pPr>
        <w:rPr>
          <w:b/>
          <w:sz w:val="28"/>
          <w:szCs w:val="20"/>
          <w:lang w:val="uk-UA"/>
        </w:rPr>
      </w:pPr>
      <w:r>
        <w:rPr>
          <w:b/>
          <w:sz w:val="28"/>
          <w:szCs w:val="20"/>
          <w:lang w:val="uk-UA"/>
        </w:rPr>
        <w:t>В.о. н</w:t>
      </w:r>
      <w:r w:rsidR="007B601C" w:rsidRPr="007B601C">
        <w:rPr>
          <w:b/>
          <w:sz w:val="28"/>
          <w:szCs w:val="20"/>
          <w:lang w:val="uk-UA"/>
        </w:rPr>
        <w:t xml:space="preserve">ачальник відділу санітарного </w:t>
      </w:r>
    </w:p>
    <w:p w:rsidR="002B25C3" w:rsidRPr="007B601C" w:rsidRDefault="007B601C" w:rsidP="00D027EA">
      <w:pPr>
        <w:rPr>
          <w:b/>
          <w:sz w:val="28"/>
          <w:szCs w:val="20"/>
          <w:lang w:val="uk-UA"/>
        </w:rPr>
      </w:pPr>
      <w:r w:rsidRPr="007B601C">
        <w:rPr>
          <w:b/>
          <w:sz w:val="28"/>
          <w:szCs w:val="20"/>
          <w:lang w:val="uk-UA"/>
        </w:rPr>
        <w:t xml:space="preserve">очищення міста та поводження з ТПВ </w:t>
      </w:r>
      <w:r w:rsidR="00494849">
        <w:rPr>
          <w:b/>
          <w:sz w:val="28"/>
          <w:szCs w:val="20"/>
          <w:lang w:val="uk-UA"/>
        </w:rPr>
        <w:tab/>
      </w:r>
      <w:r w:rsidR="00494849">
        <w:rPr>
          <w:b/>
          <w:sz w:val="28"/>
          <w:szCs w:val="20"/>
          <w:lang w:val="uk-UA"/>
        </w:rPr>
        <w:tab/>
      </w:r>
      <w:r w:rsidR="00494849">
        <w:rPr>
          <w:b/>
          <w:sz w:val="28"/>
          <w:szCs w:val="20"/>
          <w:lang w:val="uk-UA"/>
        </w:rPr>
        <w:tab/>
      </w:r>
      <w:r w:rsidR="00494849">
        <w:rPr>
          <w:b/>
          <w:sz w:val="28"/>
          <w:szCs w:val="20"/>
          <w:lang w:val="uk-UA"/>
        </w:rPr>
        <w:tab/>
        <w:t>А.М. Денисова</w:t>
      </w:r>
    </w:p>
    <w:sectPr w:rsidR="002B25C3" w:rsidRPr="007B601C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7FE" w:rsidRDefault="000637FE" w:rsidP="006B39BE">
      <w:r>
        <w:separator/>
      </w:r>
    </w:p>
  </w:endnote>
  <w:endnote w:type="continuationSeparator" w:id="0">
    <w:p w:rsidR="000637FE" w:rsidRDefault="000637FE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7FE" w:rsidRDefault="000637FE" w:rsidP="006B39BE">
      <w:r>
        <w:separator/>
      </w:r>
    </w:p>
  </w:footnote>
  <w:footnote w:type="continuationSeparator" w:id="0">
    <w:p w:rsidR="000637FE" w:rsidRDefault="000637FE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637FE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D5E08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43EF3"/>
    <w:rsid w:val="00475E72"/>
    <w:rsid w:val="004867D7"/>
    <w:rsid w:val="0048744F"/>
    <w:rsid w:val="00491C04"/>
    <w:rsid w:val="00494849"/>
    <w:rsid w:val="00495EB0"/>
    <w:rsid w:val="004A150E"/>
    <w:rsid w:val="004A58FA"/>
    <w:rsid w:val="004B7C88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B601C"/>
    <w:rsid w:val="007D5688"/>
    <w:rsid w:val="00805EA1"/>
    <w:rsid w:val="00840A12"/>
    <w:rsid w:val="00841CEE"/>
    <w:rsid w:val="008433F3"/>
    <w:rsid w:val="00844560"/>
    <w:rsid w:val="008517E1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21F5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0EA2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11E29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E00F6"/>
    <w:rsid w:val="00EF161F"/>
    <w:rsid w:val="00F17042"/>
    <w:rsid w:val="00F21582"/>
    <w:rsid w:val="00F5390B"/>
    <w:rsid w:val="00F95975"/>
    <w:rsid w:val="00F96FFC"/>
    <w:rsid w:val="00F9707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22041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.gov.ua/images/documents/Rishennia/Sesii/2020/24.12.2020/62-MR/Risenna_s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9D858-B28F-491C-8BBB-3E52F483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163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Денисова Анна Миколаївна</cp:lastModifiedBy>
  <cp:revision>10</cp:revision>
  <cp:lastPrinted>2021-08-30T08:49:00Z</cp:lastPrinted>
  <dcterms:created xsi:type="dcterms:W3CDTF">2021-06-29T10:31:00Z</dcterms:created>
  <dcterms:modified xsi:type="dcterms:W3CDTF">2021-08-30T10:53:00Z</dcterms:modified>
</cp:coreProperties>
</file>